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5E1F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B5E1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39"/>
        <w:gridCol w:w="180"/>
        <w:gridCol w:w="821"/>
        <w:gridCol w:w="180"/>
        <w:gridCol w:w="445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18.07.2019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32/485</w:t>
            </w:r>
            <w:proofErr w:type="gramStart"/>
            <w:r>
              <w:rPr>
                <w:rFonts w:eastAsia="Times New Roman"/>
                <w:color w:val="000000"/>
              </w:rPr>
              <w:t>/Е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</w:t>
            </w:r>
            <w:r>
              <w:rPr>
                <w:rFonts w:eastAsia="Times New Roman"/>
                <w:color w:val="000000"/>
              </w:rPr>
              <w:t xml:space="preserve">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Чаленко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Андр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000000" w:rsidRDefault="00AB5E1F">
      <w:pPr>
        <w:rPr>
          <w:rFonts w:eastAsia="Times New Roman"/>
          <w:color w:val="000000"/>
        </w:rPr>
      </w:pPr>
    </w:p>
    <w:p w:rsidR="00000000" w:rsidRDefault="00AB5E1F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000000" w:rsidRDefault="00AB5E1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</w:t>
            </w:r>
            <w:r>
              <w:rPr>
                <w:rFonts w:eastAsia="Times New Roman"/>
                <w:color w:val="000000"/>
              </w:rPr>
              <w:t>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Приватне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21034, </w:t>
            </w:r>
            <w:proofErr w:type="spellStart"/>
            <w:r>
              <w:rPr>
                <w:rFonts w:eastAsia="Times New Roman"/>
                <w:color w:val="000000"/>
              </w:rPr>
              <w:t>Вінницька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м. 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нниця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вул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Немир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шосе</w:t>
            </w:r>
            <w:proofErr w:type="spellEnd"/>
            <w:r>
              <w:rPr>
                <w:rFonts w:eastAsia="Times New Roman"/>
                <w:color w:val="000000"/>
              </w:rPr>
              <w:t>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dimaisc@vioil.com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</w:t>
            </w:r>
            <w:r>
              <w:rPr>
                <w:rFonts w:eastAsia="Times New Roman"/>
                <w:color w:val="000000"/>
              </w:rPr>
              <w:t>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B5E1F" w:rsidP="00B7735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 w:rsidR="00B77352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УКРАЇНА</w:t>
            </w:r>
            <w:r w:rsidR="00B77352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DR/00002/ARM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AB5E1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5"/>
        <w:gridCol w:w="232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19.07.2019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AB5E1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AB5E1F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прийняття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р</w:t>
      </w:r>
      <w:proofErr w:type="gramEnd"/>
      <w:r>
        <w:rPr>
          <w:rFonts w:eastAsia="Times New Roman"/>
          <w:color w:val="000000"/>
        </w:rPr>
        <w:t>ішення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попереднє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надання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згоди</w:t>
      </w:r>
      <w:proofErr w:type="spellEnd"/>
      <w:r>
        <w:rPr>
          <w:rFonts w:eastAsia="Times New Roman"/>
          <w:color w:val="000000"/>
        </w:rPr>
        <w:t xml:space="preserve"> на </w:t>
      </w:r>
      <w:proofErr w:type="spellStart"/>
      <w:r>
        <w:rPr>
          <w:rFonts w:eastAsia="Times New Roman"/>
          <w:color w:val="000000"/>
        </w:rPr>
        <w:t>вчинення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значних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правочинів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995"/>
        <w:gridCol w:w="2995"/>
        <w:gridCol w:w="3744"/>
        <w:gridCol w:w="44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ішення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Вартість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(тис.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грн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Спі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вв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ідношення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граничної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сукупності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правочинів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вартості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активів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річної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фінансової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звітності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4373125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0.2744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AB5E1F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ОЖК»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: 18 </w:t>
            </w:r>
            <w:proofErr w:type="spellStart"/>
            <w:r>
              <w:rPr>
                <w:rFonts w:eastAsia="Times New Roman"/>
                <w:color w:val="000000"/>
              </w:rPr>
              <w:t>липня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2019 року.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Предмет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: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укладення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Приватним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акцiонерним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олiйножировий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комбiнат</w:t>
            </w:r>
            <w:proofErr w:type="spellEnd"/>
            <w:r>
              <w:rPr>
                <w:rFonts w:eastAsia="Times New Roman"/>
                <w:color w:val="000000"/>
              </w:rPr>
              <w:t xml:space="preserve">», як </w:t>
            </w:r>
            <w:proofErr w:type="spellStart"/>
            <w:r>
              <w:rPr>
                <w:rFonts w:eastAsia="Times New Roman"/>
                <w:color w:val="000000"/>
              </w:rPr>
              <w:t>позикодавцем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ПРИВАТНИМ ПIДПРИЄМСТВОМ «ВЕКТОР-М», як </w:t>
            </w:r>
            <w:proofErr w:type="spellStart"/>
            <w:r>
              <w:rPr>
                <w:rFonts w:eastAsia="Times New Roman"/>
                <w:color w:val="000000"/>
              </w:rPr>
              <w:t>позичальником</w:t>
            </w:r>
            <w:proofErr w:type="spellEnd"/>
            <w:r>
              <w:rPr>
                <w:rFonts w:eastAsia="Times New Roman"/>
                <w:color w:val="000000"/>
              </w:rPr>
              <w:t xml:space="preserve">, договору </w:t>
            </w:r>
            <w:proofErr w:type="spellStart"/>
            <w:r>
              <w:rPr>
                <w:rFonts w:eastAsia="Times New Roman"/>
                <w:color w:val="000000"/>
              </w:rPr>
              <w:t>безвiдсоткової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поворотної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допомоги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суму,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овинна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перевищувати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12 000 000,00 (</w:t>
            </w:r>
            <w:proofErr w:type="spellStart"/>
            <w:r>
              <w:rPr>
                <w:rFonts w:eastAsia="Times New Roman"/>
                <w:color w:val="000000"/>
              </w:rPr>
              <w:t>дванадцять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мiльйонiв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 xml:space="preserve"> 00 коп.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Ринкова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є предметом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– 12 000 000,00 (</w:t>
            </w:r>
            <w:proofErr w:type="spellStart"/>
            <w:r>
              <w:rPr>
                <w:rFonts w:eastAsia="Times New Roman"/>
                <w:color w:val="000000"/>
              </w:rPr>
              <w:t>дванадцять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мiльйонiв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 xml:space="preserve"> 00 коп.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Вартiсть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</w:t>
            </w:r>
            <w:r>
              <w:rPr>
                <w:rFonts w:eastAsia="Times New Roman"/>
                <w:color w:val="000000"/>
              </w:rPr>
              <w:t>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: 4 373 125 </w:t>
            </w:r>
            <w:proofErr w:type="spellStart"/>
            <w:r>
              <w:rPr>
                <w:rFonts w:eastAsia="Times New Roman"/>
                <w:color w:val="000000"/>
              </w:rPr>
              <w:t>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</w:t>
            </w:r>
            <w:proofErr w:type="spellEnd"/>
            <w:r>
              <w:rPr>
                <w:rFonts w:eastAsia="Times New Roman"/>
                <w:color w:val="000000"/>
              </w:rPr>
              <w:t>. (</w:t>
            </w:r>
            <w:proofErr w:type="spellStart"/>
            <w:r>
              <w:rPr>
                <w:rFonts w:eastAsia="Times New Roman"/>
                <w:color w:val="000000"/>
              </w:rPr>
              <w:t>чотири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мiльярди</w:t>
            </w:r>
            <w:proofErr w:type="spellEnd"/>
            <w:r>
              <w:rPr>
                <w:rFonts w:eastAsia="Times New Roman"/>
                <w:color w:val="000000"/>
              </w:rPr>
              <w:t xml:space="preserve"> триста </w:t>
            </w:r>
            <w:proofErr w:type="spellStart"/>
            <w:r>
              <w:rPr>
                <w:rFonts w:eastAsia="Times New Roman"/>
                <w:color w:val="000000"/>
              </w:rPr>
              <w:t>сiмдесят</w:t>
            </w:r>
            <w:proofErr w:type="spellEnd"/>
            <w:r>
              <w:rPr>
                <w:rFonts w:eastAsia="Times New Roman"/>
                <w:color w:val="000000"/>
              </w:rPr>
              <w:t xml:space="preserve"> три </w:t>
            </w:r>
            <w:proofErr w:type="spellStart"/>
            <w:r>
              <w:rPr>
                <w:rFonts w:eastAsia="Times New Roman"/>
                <w:color w:val="000000"/>
              </w:rPr>
              <w:t>мiльйони</w:t>
            </w:r>
            <w:proofErr w:type="spellEnd"/>
            <w:r>
              <w:rPr>
                <w:rFonts w:eastAsia="Times New Roman"/>
                <w:color w:val="000000"/>
              </w:rPr>
              <w:t xml:space="preserve"> сто </w:t>
            </w:r>
            <w:proofErr w:type="spellStart"/>
            <w:r>
              <w:rPr>
                <w:rFonts w:eastAsia="Times New Roman"/>
                <w:color w:val="000000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п’ять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тисяч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гривень</w:t>
            </w:r>
            <w:proofErr w:type="spellEnd"/>
            <w:r>
              <w:rPr>
                <w:rFonts w:eastAsia="Times New Roman"/>
                <w:color w:val="000000"/>
              </w:rPr>
              <w:t>).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Сп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ввiдношення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ринкової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є предметом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до </w:t>
            </w:r>
            <w:proofErr w:type="spellStart"/>
            <w:r>
              <w:rPr>
                <w:rFonts w:eastAsia="Times New Roman"/>
                <w:color w:val="000000"/>
              </w:rPr>
              <w:t>вартостi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активiв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даними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останньої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фiнансової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звiтн</w:t>
            </w:r>
            <w:r>
              <w:rPr>
                <w:rFonts w:eastAsia="Times New Roman"/>
                <w:color w:val="000000"/>
              </w:rPr>
              <w:t>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color w:val="000000"/>
              </w:rPr>
              <w:t>вiдсотках</w:t>
            </w:r>
            <w:proofErr w:type="spellEnd"/>
            <w:r>
              <w:rPr>
                <w:rFonts w:eastAsia="Times New Roman"/>
                <w:color w:val="000000"/>
              </w:rPr>
              <w:t>): 0,2744.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та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>: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загальна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 – 3 голоси,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"за"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3 голоси,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"</w:t>
            </w:r>
            <w:proofErr w:type="spellStart"/>
            <w:r>
              <w:rPr>
                <w:rFonts w:eastAsia="Times New Roman"/>
                <w:color w:val="000000"/>
              </w:rPr>
              <w:t>проти</w:t>
            </w:r>
            <w:proofErr w:type="spellEnd"/>
            <w:r>
              <w:rPr>
                <w:rFonts w:eastAsia="Times New Roman"/>
                <w:color w:val="000000"/>
              </w:rPr>
              <w:t xml:space="preserve">"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0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кiлькiсть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проголосували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утримався</w:t>
            </w:r>
            <w:proofErr w:type="spellEnd"/>
            <w:r>
              <w:rPr>
                <w:rFonts w:eastAsia="Times New Roman"/>
                <w:color w:val="000000"/>
              </w:rPr>
              <w:t xml:space="preserve">» при </w:t>
            </w:r>
            <w:proofErr w:type="spellStart"/>
            <w:r>
              <w:rPr>
                <w:rFonts w:eastAsia="Times New Roman"/>
                <w:color w:val="000000"/>
              </w:rPr>
              <w:t>прийняттi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– 0 </w:t>
            </w:r>
            <w:proofErr w:type="spellStart"/>
            <w:r>
              <w:rPr>
                <w:rFonts w:eastAsia="Times New Roman"/>
                <w:color w:val="000000"/>
              </w:rPr>
              <w:t>голосiв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Наглядова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рада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правоможна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приймати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вищезазначене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шення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Критерiї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</w:rPr>
              <w:t>вiднесення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</w:t>
            </w:r>
            <w:r>
              <w:rPr>
                <w:rFonts w:eastAsia="Times New Roman"/>
                <w:color w:val="000000"/>
              </w:rPr>
              <w:t>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не </w:t>
            </w:r>
            <w:proofErr w:type="spellStart"/>
            <w:r>
              <w:rPr>
                <w:rFonts w:eastAsia="Times New Roman"/>
                <w:color w:val="000000"/>
              </w:rPr>
              <w:t>передбаченi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законодавством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визначенi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статутом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: до </w:t>
            </w:r>
            <w:proofErr w:type="spellStart"/>
            <w:r>
              <w:rPr>
                <w:rFonts w:eastAsia="Times New Roman"/>
                <w:color w:val="000000"/>
              </w:rPr>
              <w:t>значного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правочину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якого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потребує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прийняття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Наглядовою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радою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вiдносяться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зокрема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кредитiв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позик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</w:t>
            </w:r>
            <w:r>
              <w:rPr>
                <w:rFonts w:eastAsia="Times New Roman"/>
                <w:color w:val="000000"/>
              </w:rPr>
              <w:t>арантiй</w:t>
            </w:r>
            <w:proofErr w:type="spellEnd"/>
            <w:r>
              <w:rPr>
                <w:rFonts w:eastAsia="Times New Roman"/>
                <w:color w:val="000000"/>
              </w:rPr>
              <w:t xml:space="preserve">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забезпечень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укладання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з факторингу та/</w:t>
            </w:r>
            <w:proofErr w:type="spellStart"/>
            <w:r>
              <w:rPr>
                <w:rFonts w:eastAsia="Times New Roman"/>
                <w:color w:val="000000"/>
              </w:rPr>
              <w:t>або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переведення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боргу на суму,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перевищує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еквiвалент</w:t>
            </w:r>
            <w:proofErr w:type="spellEnd"/>
            <w:r>
              <w:rPr>
                <w:rFonts w:eastAsia="Times New Roman"/>
                <w:color w:val="000000"/>
              </w:rPr>
              <w:t xml:space="preserve"> 100 </w:t>
            </w:r>
            <w:proofErr w:type="spellStart"/>
            <w:r>
              <w:rPr>
                <w:rFonts w:eastAsia="Times New Roman"/>
                <w:color w:val="000000"/>
              </w:rPr>
              <w:t>тисячам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доларiв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США</w:t>
            </w:r>
            <w:proofErr w:type="gramEnd"/>
            <w:r>
              <w:rPr>
                <w:rFonts w:eastAsia="Times New Roman"/>
                <w:color w:val="000000"/>
              </w:rPr>
              <w:t xml:space="preserve"> на дату </w:t>
            </w:r>
            <w:proofErr w:type="spellStart"/>
            <w:r>
              <w:rPr>
                <w:rFonts w:eastAsia="Times New Roman"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таких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/п 21 п. 7.3.6. Статуту </w:t>
            </w: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«</w:t>
            </w:r>
            <w:proofErr w:type="spellStart"/>
            <w:r>
              <w:rPr>
                <w:rFonts w:eastAsia="Times New Roman"/>
                <w:color w:val="000000"/>
              </w:rPr>
              <w:t>Вiнницький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ОЖК»)</w:t>
            </w:r>
            <w:r w:rsidR="00B77352">
              <w:rPr>
                <w:rFonts w:eastAsia="Times New Roman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AB5E1F" w:rsidRDefault="00AB5E1F">
      <w:pPr>
        <w:rPr>
          <w:rFonts w:eastAsia="Times New Roman"/>
        </w:rPr>
      </w:pPr>
    </w:p>
    <w:sectPr w:rsidR="00AB5E1F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77352"/>
    <w:rsid w:val="00AB5E1F"/>
    <w:rsid w:val="00B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Галина</dc:creator>
  <cp:lastModifiedBy>Журавлева Галина</cp:lastModifiedBy>
  <cp:revision>2</cp:revision>
  <dcterms:created xsi:type="dcterms:W3CDTF">2019-07-18T13:26:00Z</dcterms:created>
  <dcterms:modified xsi:type="dcterms:W3CDTF">2019-07-18T13:26:00Z</dcterms:modified>
</cp:coreProperties>
</file>