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D3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567D3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67D32">
      <w:pPr>
        <w:rPr>
          <w:rFonts w:eastAsia="Times New Roman"/>
          <w:color w:val="000000"/>
        </w:rPr>
      </w:pPr>
    </w:p>
    <w:p w:rsidR="00000000" w:rsidRDefault="00567D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67D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67D32">
      <w:pPr>
        <w:rPr>
          <w:rFonts w:eastAsia="Times New Roman"/>
          <w:color w:val="000000"/>
        </w:rPr>
      </w:pPr>
    </w:p>
    <w:p w:rsidR="00000000" w:rsidRDefault="00567D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0"/>
        <w:gridCol w:w="226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№93 (2598)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19.05.2017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67D3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567D3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95"/>
        <w:gridCol w:w="5241"/>
        <w:gridCol w:w="5241"/>
      </w:tblGrid>
      <w:tr w:rsidR="00000000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«Вiнницький олiйножировий комбiнат»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«Вiнницький олiйножировий комбiнат»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67D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25.04.2017 року рiчними Загальними зборами акцiонерiв Публiчного акцiонерного товариства «Вiнницький олiйножировий комбiнат» (Протокол № 1 вiд 25.04.2017 року) було прийнято рiшення про змiну типу акцiонерного товариства з Публiчного акцiонерного товариств</w:t>
            </w:r>
            <w:r>
              <w:rPr>
                <w:rFonts w:eastAsia="Times New Roman"/>
                <w:color w:val="000000"/>
              </w:rPr>
              <w:t>а на Приватне акцiонерне товариство. Також було змiнено повне найменування Товариства з Публiчного акцiонерного товариства «Вiнницький олiйножировий комбiнат» на Приватне акцiонерне товариство «Вiнницький олiйножировий комбiнат» та скорочене найменування Т</w:t>
            </w:r>
            <w:r>
              <w:rPr>
                <w:rFonts w:eastAsia="Times New Roman"/>
                <w:color w:val="000000"/>
              </w:rPr>
              <w:t>овариства з ПАТ «Вiнницький ОЖК» на ПрАТ «Вiнницький ОЖК»).</w:t>
            </w:r>
            <w:r>
              <w:rPr>
                <w:rFonts w:eastAsia="Times New Roman"/>
                <w:color w:val="000000"/>
              </w:rPr>
              <w:br/>
              <w:t>Дата державної реєстрацiї вiдповiдних змiн до вiдомостей про юридичну особу, що мiстяться в Єдиному державному реєстрi юридичних осiб, фiзичних осiб-пiдприємцiв та громадських формувань - 17.05.20</w:t>
            </w:r>
            <w:r>
              <w:rPr>
                <w:rFonts w:eastAsia="Times New Roman"/>
                <w:color w:val="000000"/>
              </w:rPr>
              <w:t>17 року.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акцiонерного товариства до змiни - Публiчне акцiонерне товариство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Повне найменування акцiонерного товариства пiсля змiни - Приватне акцiонерне товариство «Вiнницький олiйножировий комбiнат».</w:t>
            </w:r>
          </w:p>
        </w:tc>
      </w:tr>
    </w:tbl>
    <w:p w:rsidR="00000000" w:rsidRDefault="00567D32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67D32"/>
    <w:rsid w:val="005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Александра</dc:creator>
  <cp:lastModifiedBy>Огиенко Александра</cp:lastModifiedBy>
  <cp:revision>2</cp:revision>
  <dcterms:created xsi:type="dcterms:W3CDTF">2017-05-18T09:25:00Z</dcterms:created>
  <dcterms:modified xsi:type="dcterms:W3CDTF">2017-05-18T09:25:00Z</dcterms:modified>
</cp:coreProperties>
</file>