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D" w:rsidRPr="00D35480" w:rsidRDefault="00C97CDF" w:rsidP="00D354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ІНФОРМАЦІЙНЕ ПОВІДОМЛЕННЯ </w:t>
      </w:r>
    </w:p>
    <w:p w:rsidR="00F85852" w:rsidRPr="00D35480" w:rsidRDefault="00F85852" w:rsidP="00D3548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ПРОВЕДЕННЯ </w:t>
      </w:r>
      <w:r w:rsidR="00D1191D"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proofErr w:type="spellStart"/>
      <w:r w:rsidR="00D1191D"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ПрАТ</w:t>
      </w:r>
      <w:proofErr w:type="spellEnd"/>
      <w:r w:rsidR="00D1191D"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«ВІННИЦЬКИЙ ОЖК»</w:t>
      </w:r>
    </w:p>
    <w:p w:rsidR="007E5E3D" w:rsidRPr="00D35480" w:rsidRDefault="00CB168E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иватне акціонерне товариство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</w:t>
      </w:r>
      <w:proofErr w:type="spellStart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олійножировий</w:t>
      </w:r>
      <w:proofErr w:type="spellEnd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комбінат» (код за </w:t>
      </w:r>
      <w:proofErr w:type="spellStart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ЄДРЮОФОПтаГФ</w:t>
      </w:r>
      <w:proofErr w:type="spellEnd"/>
      <w:r w:rsidR="00E1186B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00373758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(далі за текстом – </w:t>
      </w:r>
      <w:proofErr w:type="spellStart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ОЖК»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F85852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оголошує про проведення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відкритого</w:t>
      </w:r>
      <w:r w:rsidR="00F85852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конкурсу з 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відбору суб'єктів аудиторської діяльності, які можуть бути призначені для надання послуг з обов'язкового аудиту фінансової звітності </w:t>
      </w:r>
      <w:proofErr w:type="spellStart"/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</w:t>
      </w:r>
      <w:proofErr w:type="spellEnd"/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«Вінницький 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ОЖК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 підприємства, 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</w:t>
      </w:r>
      <w:r w:rsidR="00265F7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становить суспільний інтерес.</w:t>
      </w:r>
    </w:p>
    <w:p w:rsidR="007E33E2" w:rsidRPr="00D35480" w:rsidRDefault="00F85852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Метою проведення конкурсу є вибір на конкурсних засадах </w:t>
      </w:r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суб’єкта аудиторської діяльності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забезпечення належного надання послуг з проведення аудиту фінансової звітності  </w:t>
      </w:r>
      <w:proofErr w:type="spellStart"/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7E5E3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ОЖК».</w:t>
      </w:r>
    </w:p>
    <w:p w:rsidR="00F85852" w:rsidRPr="00D35480" w:rsidRDefault="00F85852" w:rsidP="00D35480">
      <w:pPr>
        <w:shd w:val="clear" w:color="auto" w:fill="FFFFFF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795B" w:rsidRPr="00D35480" w:rsidRDefault="0050265E" w:rsidP="00D3548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</w:t>
      </w:r>
      <w:r w:rsidR="00D1191D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ритерії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proofErr w:type="spellStart"/>
      <w:r w:rsidR="00D1191D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ПрАТ</w:t>
      </w:r>
      <w:proofErr w:type="spellEnd"/>
      <w:r w:rsidR="00D1191D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«Вінницький ОЖК»</w:t>
      </w:r>
      <w:r w:rsidR="00F85852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D1191D" w:rsidRPr="00D35480" w:rsidRDefault="00D1191D" w:rsidP="00D354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4666" w:rsidRPr="00D35480" w:rsidRDefault="00514666" w:rsidP="00D35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У конкурсі можуть брати участь суб’єкти аудиторської діяльності, які</w:t>
      </w:r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68B6" w:rsidRPr="00D35480" w:rsidRDefault="0051466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відповідають вимогам, що встановлені Законом України «Про аудит фінансової звітності та аудиторську діяльність» №2258-VIII від 21.12.2017р.(далі </w:t>
      </w:r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>Закон), а також умовам конкурсу</w:t>
      </w:r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включені до розділу Реєстру аудиторів та суб'єктів аудиторської діяльності –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за попередній річний звітний період сума винагороди від </w:t>
      </w:r>
      <w:proofErr w:type="spellStart"/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«Вінницький ОЖК»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514666" w:rsidRPr="00D35480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суспільний інтерес, як</w:t>
      </w:r>
      <w:r w:rsidR="00514666" w:rsidRPr="00D35480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надавалися послуги з обов'язкового аудиту фінансової звітності протягом цього періоду, не перевищувала 15 відсотків загальної суми доходу від надання аудиторських послуг;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винагороди, отримана від </w:t>
      </w:r>
      <w:proofErr w:type="spellStart"/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«Вінницький ОЖК»</w:t>
      </w:r>
      <w:r w:rsidR="000A17EE" w:rsidRPr="00D354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F7E"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>якому надаються послуги з аудиту, щорічно не перевищує 15 відсотків загальної суми чистого доходу від надання послуг таким суб'єктом аудиторської діяльності впродовж п'яти років поспіль;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не мають обмежень, пов'язаних з тривалістю надання послуг </w:t>
      </w:r>
      <w:proofErr w:type="spellStart"/>
      <w:r w:rsidR="000A17EE" w:rsidRPr="00D35480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0A17EE" w:rsidRPr="00D35480">
        <w:rPr>
          <w:rFonts w:ascii="Times New Roman" w:hAnsi="Times New Roman" w:cs="Times New Roman"/>
          <w:sz w:val="24"/>
          <w:szCs w:val="24"/>
          <w:lang w:val="uk-UA"/>
        </w:rPr>
        <w:t xml:space="preserve"> «Вінницький ОЖК»</w:t>
      </w:r>
      <w:r w:rsidRPr="00D354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можуть забезпечити достатній рівень кваліфікації та досвіду аудиторів і персоналу, який залучається до надання послуг відповідно до міжнародних стандартів аудиту;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за основним місцем роботи має працювати не менше п'яти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звітності; пройшли перевірку контролю якості аудиторських послуг, здійснену у відповідності до вимог чинного законодавства;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мають чинний договір страхування цивільно-правової відповідальності перед третіми особами, укладений згідно з нормами чинного законодавства;</w:t>
      </w:r>
    </w:p>
    <w:p w:rsidR="00AF68B6" w:rsidRPr="00D35480" w:rsidRDefault="00AF68B6" w:rsidP="00D354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80">
        <w:rPr>
          <w:rFonts w:ascii="Times New Roman" w:hAnsi="Times New Roman" w:cs="Times New Roman"/>
          <w:sz w:val="24"/>
          <w:szCs w:val="24"/>
          <w:lang w:val="uk-UA"/>
        </w:rPr>
        <w:t>суб'єкт аудиторської діяльності, ключовий партнер з аудиту, аудитори, які залучаються до виконання відповідного завдання, є незалежними від підприємства, якому надаються послуги з аудиту.</w:t>
      </w:r>
    </w:p>
    <w:p w:rsidR="00AF68B6" w:rsidRPr="00D35480" w:rsidRDefault="00AF68B6" w:rsidP="00D35480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D4A" w:rsidRPr="00D35480" w:rsidRDefault="00556D4A" w:rsidP="00D35480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Завдання </w:t>
      </w:r>
      <w:r w:rsidR="00F14086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обов’язкового аудиту фінансової звітност</w:t>
      </w:r>
      <w:r w:rsidR="001F4A5A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включає</w:t>
      </w: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1F4A5A" w:rsidRPr="00D35480" w:rsidRDefault="001F4A5A" w:rsidP="00D3548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6C11" w:rsidRPr="00D35480" w:rsidRDefault="001F4A5A" w:rsidP="00D3548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66C1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перевірку фінансової звітності </w:t>
      </w:r>
      <w:proofErr w:type="spellStart"/>
      <w:r w:rsidR="000A17E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0A17E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ОЖК»</w:t>
      </w:r>
      <w:r w:rsidR="00C66C1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яка включає баланс (Звіт про фінансовий стан) </w:t>
      </w:r>
      <w:r w:rsidR="000A17E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станом </w:t>
      </w:r>
      <w:r w:rsidR="00C66C1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31 грудня 2018 р., Звіт про фінансові результати (Звіт про сукупний дохід), Звіт про власний капітал та Звіт про рух грошових коштів за рік, що закінчився на зазначені дати, і примітки до фінансової звітності, включаючи стислий опис суттєвих облікових політик та інші пояснювальні примітки,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України. Тендерна документація може містити додаткові завдання, які повинен виконати суб’єкт аудиторської діяльності при проведенні аудиту.</w:t>
      </w:r>
    </w:p>
    <w:p w:rsidR="00C66C11" w:rsidRPr="00D35480" w:rsidRDefault="00C66C11" w:rsidP="00D3548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852" w:rsidRPr="00D35480" w:rsidRDefault="00F85852" w:rsidP="00D3548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Не допускаються до участі в конкурсі </w:t>
      </w:r>
      <w:r w:rsidR="007E5CA1"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суб’єкти аудиторської діяльності</w:t>
      </w: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які:</w:t>
      </w:r>
    </w:p>
    <w:p w:rsidR="00F85852" w:rsidRPr="00D35480" w:rsidRDefault="00F85852" w:rsidP="00D35480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відповідають вимогам Закону України «Про 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аудит фінансової звітності та аудиторську діяльність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та Умовам</w:t>
      </w:r>
      <w:r w:rsidR="000A17EE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викладеним в п.1 даного 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повідомлення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85852" w:rsidRPr="00D35480" w:rsidRDefault="00F85852" w:rsidP="00D35480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подали до участі в конкурсі документи, що містять недостовірну інформацію.</w:t>
      </w:r>
    </w:p>
    <w:p w:rsidR="00F85852" w:rsidRPr="00D35480" w:rsidRDefault="00F85852" w:rsidP="00D35480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Для участі у конкурсі претенденти подають, такі документи</w:t>
      </w:r>
      <w:r w:rsidR="00BD13A4"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інформацію</w:t>
      </w: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E92318" w:rsidRPr="00D35480" w:rsidRDefault="00E92318" w:rsidP="00D354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Коротке резюме про </w:t>
      </w:r>
      <w:r w:rsidR="007E5CA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суб’єкта аудиторської діяльності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(реєстраційна інформація, види діяльності, посадові особи та інше);</w:t>
      </w:r>
    </w:p>
    <w:p w:rsidR="00E92318" w:rsidRPr="00D35480" w:rsidRDefault="00BD13A4" w:rsidP="00D354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Інформацію про наявність передбачених законодавством України: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ліцензій, свідоцтв, сертифікатів 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зазначенням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термін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їх дії;</w:t>
      </w:r>
    </w:p>
    <w:p w:rsidR="00E92318" w:rsidRPr="00D35480" w:rsidRDefault="00E92318" w:rsidP="00D354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основних клієнтів із зазначенням контак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тних осіб та телефонних номерів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</w:t>
      </w:r>
      <w:proofErr w:type="spellEnd"/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язку</w:t>
      </w:r>
      <w:proofErr w:type="spellEnd"/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ними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разі необхідності;</w:t>
      </w:r>
    </w:p>
    <w:p w:rsidR="00556D4A" w:rsidRPr="00D35480" w:rsidRDefault="007A353F" w:rsidP="00D354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Цінов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р</w:t>
      </w:r>
      <w:r w:rsidR="00556D4A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озмір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556D4A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оплати за договором та розрахунок вартості послуг;</w:t>
      </w:r>
    </w:p>
    <w:p w:rsidR="00F85852" w:rsidRPr="00D35480" w:rsidRDefault="001F4A5A" w:rsidP="00D354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Будь-яку іншу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інформаці</w:t>
      </w:r>
      <w:r w:rsidR="00BD13A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BD263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яка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</w:t>
      </w:r>
      <w:r w:rsidR="00E92318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бути</w:t>
      </w:r>
      <w:r w:rsidR="00BD263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корисною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оцінки суб’єкта аудиторської діяльності</w:t>
      </w:r>
      <w:r w:rsidR="00BD263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0265E" w:rsidRPr="00D35480" w:rsidRDefault="0050265E" w:rsidP="00D35480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91D" w:rsidRPr="00D35480" w:rsidRDefault="0050265E" w:rsidP="00D35480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Порядок проведення відкритого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proofErr w:type="spellStart"/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ПрАТ</w:t>
      </w:r>
      <w:proofErr w:type="spellEnd"/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«Вінницький ОЖК»:</w:t>
      </w:r>
    </w:p>
    <w:p w:rsidR="00E311E9" w:rsidRPr="00D35480" w:rsidRDefault="00E311E9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Дата </w:t>
      </w:r>
      <w:r w:rsidR="00EB7964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початку </w:t>
      </w: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проведення конкурсу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796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E5CA1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11 січня</w:t>
      </w:r>
      <w:r w:rsidR="00D514B3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EB7964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201</w:t>
      </w:r>
      <w:r w:rsidR="007E5CA1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9</w:t>
      </w:r>
      <w:r w:rsidR="00EB7964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року</w:t>
      </w:r>
      <w:r w:rsidR="00D514B3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.</w:t>
      </w:r>
    </w:p>
    <w:p w:rsidR="00F85852" w:rsidRPr="00D35480" w:rsidRDefault="00F85852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подачі документів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– </w:t>
      </w: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до </w:t>
      </w:r>
      <w:r w:rsidR="00B95BDC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</w:t>
      </w:r>
      <w:r w:rsidR="0054116B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5</w:t>
      </w:r>
      <w:r w:rsidR="00556D4A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B95BDC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січня 2019</w:t>
      </w:r>
      <w:r w:rsidR="00556D4A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року </w:t>
      </w:r>
      <w:r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включно.</w:t>
      </w:r>
    </w:p>
    <w:p w:rsidR="00446CF4" w:rsidRPr="00D35480" w:rsidRDefault="00F85852" w:rsidP="00D35480">
      <w:pPr>
        <w:autoSpaceDE w:val="0"/>
        <w:autoSpaceDN w:val="0"/>
        <w:rPr>
          <w:rFonts w:ascii="Times New Roman" w:eastAsia="Calibri" w:hAnsi="Times New Roman" w:cs="Times New Roman"/>
          <w:noProof/>
          <w:color w:val="0563C1"/>
          <w:sz w:val="24"/>
          <w:szCs w:val="24"/>
          <w:u w:val="single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Документи </w:t>
      </w:r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прохання надсилати електронною поштою на </w:t>
      </w:r>
      <w:r w:rsidR="007B4A17" w:rsidRPr="00D35480">
        <w:rPr>
          <w:rFonts w:ascii="Times New Roman" w:hAnsi="Times New Roman" w:cs="Times New Roman"/>
          <w:color w:val="202030"/>
          <w:sz w:val="24"/>
          <w:szCs w:val="24"/>
          <w:lang w:val="uk-UA" w:eastAsia="ru-RU"/>
        </w:rPr>
        <w:t>e-</w:t>
      </w:r>
      <w:proofErr w:type="spellStart"/>
      <w:r w:rsidR="007B4A17" w:rsidRPr="00D35480">
        <w:rPr>
          <w:rFonts w:ascii="Times New Roman" w:hAnsi="Times New Roman" w:cs="Times New Roman"/>
          <w:color w:val="202030"/>
          <w:sz w:val="24"/>
          <w:szCs w:val="24"/>
          <w:lang w:val="uk-UA" w:eastAsia="ru-RU"/>
        </w:rPr>
        <w:t>mail</w:t>
      </w:r>
      <w:proofErr w:type="spellEnd"/>
      <w:r w:rsidR="007B4A17" w:rsidRPr="00D35480">
        <w:rPr>
          <w:rFonts w:ascii="Times New Roman" w:hAnsi="Times New Roman" w:cs="Times New Roman"/>
          <w:color w:val="202030"/>
          <w:sz w:val="24"/>
          <w:szCs w:val="24"/>
          <w:lang w:val="uk-UA" w:eastAsia="ru-RU"/>
        </w:rPr>
        <w:t xml:space="preserve">:  </w:t>
      </w:r>
      <w:hyperlink r:id="rId6" w:history="1">
        <w:r w:rsidR="00B95BDC" w:rsidRPr="00D35480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uk-UA" w:eastAsia="ru-RU"/>
          </w:rPr>
          <w:t>irinazrn@vioil.com</w:t>
        </w:r>
      </w:hyperlink>
    </w:p>
    <w:p w:rsidR="00446CF4" w:rsidRPr="00D35480" w:rsidRDefault="00446CF4" w:rsidP="00D35480">
      <w:pPr>
        <w:autoSpaceDE w:val="0"/>
        <w:autoSpaceDN w:val="0"/>
        <w:rPr>
          <w:rFonts w:ascii="Times New Roman" w:eastAsia="Calibri" w:hAnsi="Times New Roman" w:cs="Times New Roman"/>
          <w:noProof/>
          <w:color w:val="335C61"/>
          <w:sz w:val="24"/>
          <w:szCs w:val="24"/>
          <w:lang w:val="uk-UA" w:eastAsia="ru-RU"/>
        </w:rPr>
      </w:pPr>
    </w:p>
    <w:p w:rsidR="007B4A17" w:rsidRPr="00D35480" w:rsidRDefault="00F85852" w:rsidP="00D35480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Контактні особи: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– </w:t>
      </w:r>
      <w:r w:rsidR="00446CF4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Головний бухгалтер 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Зоря Ірина Олександрівна</w:t>
      </w:r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тел. +38 04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32 65 54 03 </w:t>
      </w:r>
      <w:r w:rsidR="007A353F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</w:t>
      </w:r>
      <w:proofErr w:type="spellEnd"/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1323</w:t>
      </w:r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</w:t>
      </w:r>
    </w:p>
    <w:p w:rsidR="00823B7C" w:rsidRPr="00D35480" w:rsidRDefault="00F85852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Документи, що надійшли після встановленого строку або подані не в повному обсязі чи з порушенням умов Конкурс</w:t>
      </w:r>
      <w:r w:rsidR="007B4A17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розглядатимуться</w:t>
      </w:r>
      <w:r w:rsidR="00EE224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F4E6D" w:rsidRPr="00D35480" w:rsidRDefault="007A353F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Фінансова звітність </w:t>
      </w:r>
      <w:r w:rsidR="00136E0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інша публічна інформація доступна для перегляду на 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офіційному </w:t>
      </w:r>
      <w:r w:rsidR="00136E0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сайті</w:t>
      </w:r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705B79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ОЖК» за посиланням:</w:t>
      </w:r>
      <w:r w:rsidR="00F44DB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7" w:history="1">
        <w:r w:rsidR="00C66C11" w:rsidRPr="00D354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http://vmzhk.vioil.com</w:t>
        </w:r>
      </w:hyperlink>
      <w:r w:rsidR="00C66C1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6E0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962BC" w:rsidRPr="00D35480" w:rsidRDefault="004F4E6D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Надання додаткової документації, що розкриває інформацію про діяльність </w:t>
      </w:r>
      <w:proofErr w:type="spellStart"/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«Вінницький ОЖК»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може </w:t>
      </w:r>
      <w:r w:rsidR="004962B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здійснюватись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необхідності та відповідно до запиту учасника конкурсу. </w:t>
      </w:r>
    </w:p>
    <w:p w:rsidR="004F4E6D" w:rsidRPr="00D35480" w:rsidRDefault="00D6786A" w:rsidP="00D354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Конкурсні пропозиції </w:t>
      </w:r>
      <w:r w:rsidR="004F4E6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будуть розглянуті 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аглядово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рад</w:t>
      </w:r>
      <w:r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ою</w:t>
      </w:r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ПрАТ</w:t>
      </w:r>
      <w:proofErr w:type="spellEnd"/>
      <w:r w:rsidR="00B95BDC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«Вінницького ОЖК». </w:t>
      </w:r>
      <w:r w:rsidR="00F44DB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результати</w:t>
      </w:r>
      <w:r w:rsidR="004F4E6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конкурсу буде повідомлено всіх учасників, що приймали участь</w:t>
      </w:r>
      <w:r w:rsidR="00136E01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F4E6D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направлення інформаці</w:t>
      </w:r>
      <w:r w:rsidR="003E137F" w:rsidRPr="00D354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йних листів на електронну пошту в термін не пізніше </w:t>
      </w:r>
      <w:r w:rsidR="00BC2B61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</w:t>
      </w:r>
      <w:r w:rsidR="00D35480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6</w:t>
      </w:r>
      <w:r w:rsidR="003E137F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C707E8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січня</w:t>
      </w:r>
      <w:r w:rsidR="003E137F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201</w:t>
      </w:r>
      <w:r w:rsidR="00B95BDC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9</w:t>
      </w:r>
      <w:r w:rsidR="003E137F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року</w:t>
      </w:r>
      <w:r w:rsidR="00C707E8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включно</w:t>
      </w:r>
      <w:r w:rsidR="003E137F" w:rsidRPr="00D35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.</w:t>
      </w:r>
    </w:p>
    <w:p w:rsidR="007A353F" w:rsidRPr="00D35480" w:rsidRDefault="007A353F" w:rsidP="007A353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A353F" w:rsidRPr="00D35480" w:rsidRDefault="007A353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A353F" w:rsidRPr="00D35480" w:rsidSect="001665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BCB"/>
    <w:multiLevelType w:val="multilevel"/>
    <w:tmpl w:val="5ED81014"/>
    <w:lvl w:ilvl="0">
      <w:start w:val="2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B52178"/>
    <w:multiLevelType w:val="hybridMultilevel"/>
    <w:tmpl w:val="7BD662F0"/>
    <w:lvl w:ilvl="0" w:tplc="B78041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59B9"/>
    <w:multiLevelType w:val="hybridMultilevel"/>
    <w:tmpl w:val="90C8B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4F2507"/>
    <w:multiLevelType w:val="hybridMultilevel"/>
    <w:tmpl w:val="6F9089FE"/>
    <w:lvl w:ilvl="0" w:tplc="B78041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EF4"/>
    <w:multiLevelType w:val="hybridMultilevel"/>
    <w:tmpl w:val="12CEB3A6"/>
    <w:lvl w:ilvl="0" w:tplc="D4D69C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65F2A"/>
    <w:multiLevelType w:val="hybridMultilevel"/>
    <w:tmpl w:val="566A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606"/>
    <w:multiLevelType w:val="hybridMultilevel"/>
    <w:tmpl w:val="7BAA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56AD"/>
    <w:multiLevelType w:val="hybridMultilevel"/>
    <w:tmpl w:val="9300E468"/>
    <w:lvl w:ilvl="0" w:tplc="CB78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130B6"/>
    <w:multiLevelType w:val="hybridMultilevel"/>
    <w:tmpl w:val="F0383CEC"/>
    <w:lvl w:ilvl="0" w:tplc="C19C257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53F1"/>
    <w:multiLevelType w:val="hybridMultilevel"/>
    <w:tmpl w:val="EE9EC332"/>
    <w:lvl w:ilvl="0" w:tplc="E432EE06">
      <w:numFmt w:val="bullet"/>
      <w:lvlText w:val="-"/>
      <w:lvlJc w:val="left"/>
      <w:pPr>
        <w:ind w:left="249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5"/>
    <w:rsid w:val="0001192A"/>
    <w:rsid w:val="000225DB"/>
    <w:rsid w:val="000A17EE"/>
    <w:rsid w:val="00136E01"/>
    <w:rsid w:val="0016656C"/>
    <w:rsid w:val="001F4A5A"/>
    <w:rsid w:val="00265F7E"/>
    <w:rsid w:val="003D7DB1"/>
    <w:rsid w:val="003E137F"/>
    <w:rsid w:val="003F5E87"/>
    <w:rsid w:val="004206BB"/>
    <w:rsid w:val="00446CF4"/>
    <w:rsid w:val="0048629F"/>
    <w:rsid w:val="004962BC"/>
    <w:rsid w:val="004C795B"/>
    <w:rsid w:val="004E65C1"/>
    <w:rsid w:val="004F4269"/>
    <w:rsid w:val="004F4E6D"/>
    <w:rsid w:val="0050265E"/>
    <w:rsid w:val="00514666"/>
    <w:rsid w:val="0053643A"/>
    <w:rsid w:val="0054116B"/>
    <w:rsid w:val="00556D4A"/>
    <w:rsid w:val="005E52FD"/>
    <w:rsid w:val="00645058"/>
    <w:rsid w:val="0065303E"/>
    <w:rsid w:val="00705B79"/>
    <w:rsid w:val="00790E80"/>
    <w:rsid w:val="007A353F"/>
    <w:rsid w:val="007B4A17"/>
    <w:rsid w:val="007C17E0"/>
    <w:rsid w:val="007E33E2"/>
    <w:rsid w:val="007E5CA1"/>
    <w:rsid w:val="007E5E3D"/>
    <w:rsid w:val="00811137"/>
    <w:rsid w:val="00826130"/>
    <w:rsid w:val="00866CE7"/>
    <w:rsid w:val="00866DBD"/>
    <w:rsid w:val="0096647B"/>
    <w:rsid w:val="009A1973"/>
    <w:rsid w:val="009B4A23"/>
    <w:rsid w:val="00A22923"/>
    <w:rsid w:val="00A837D8"/>
    <w:rsid w:val="00AD651F"/>
    <w:rsid w:val="00AF68B6"/>
    <w:rsid w:val="00B95BDC"/>
    <w:rsid w:val="00BB3B9E"/>
    <w:rsid w:val="00BB4DD1"/>
    <w:rsid w:val="00BC2B61"/>
    <w:rsid w:val="00BD13A4"/>
    <w:rsid w:val="00BD2634"/>
    <w:rsid w:val="00BF1EA1"/>
    <w:rsid w:val="00C11254"/>
    <w:rsid w:val="00C66C11"/>
    <w:rsid w:val="00C707E8"/>
    <w:rsid w:val="00C97CDF"/>
    <w:rsid w:val="00CB168E"/>
    <w:rsid w:val="00CB5CE9"/>
    <w:rsid w:val="00D1191D"/>
    <w:rsid w:val="00D35480"/>
    <w:rsid w:val="00D514B3"/>
    <w:rsid w:val="00D6786A"/>
    <w:rsid w:val="00DB7335"/>
    <w:rsid w:val="00DF79A3"/>
    <w:rsid w:val="00E1186B"/>
    <w:rsid w:val="00E311E9"/>
    <w:rsid w:val="00E77B36"/>
    <w:rsid w:val="00E92318"/>
    <w:rsid w:val="00EB7964"/>
    <w:rsid w:val="00EE2249"/>
    <w:rsid w:val="00EE5D0C"/>
    <w:rsid w:val="00EF5682"/>
    <w:rsid w:val="00F14086"/>
    <w:rsid w:val="00F37C95"/>
    <w:rsid w:val="00F44DB1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8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6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3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F68B6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AF6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5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8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6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3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F68B6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AF6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mzhk.vi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zrn@vi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 Елена (Elena Gula)</dc:creator>
  <cp:lastModifiedBy>dimaisc</cp:lastModifiedBy>
  <cp:revision>5</cp:revision>
  <cp:lastPrinted>2018-11-08T08:51:00Z</cp:lastPrinted>
  <dcterms:created xsi:type="dcterms:W3CDTF">2019-01-11T10:21:00Z</dcterms:created>
  <dcterms:modified xsi:type="dcterms:W3CDTF">2019-01-11T10:39:00Z</dcterms:modified>
</cp:coreProperties>
</file>