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49" w:rsidRDefault="005C0F8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 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C92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C92F49" w:rsidRDefault="00C92F49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C92F4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Чаленко Дмитро Андрiйович</w:t>
            </w:r>
          </w:p>
        </w:tc>
      </w:tr>
      <w:tr w:rsidR="00C92F49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C92F4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C92F4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C92F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C92F4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 w:rsidP="00D054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07.1</w:t>
            </w:r>
            <w:r w:rsidR="00D05438">
              <w:rPr>
                <w:rFonts w:eastAsia="Times New Roman"/>
                <w:color w:val="000000"/>
                <w:lang w:val="uk-UA"/>
              </w:rPr>
              <w:t>2</w:t>
            </w:r>
            <w:bookmarkStart w:id="0" w:name="_GoBack"/>
            <w:bookmarkEnd w:id="0"/>
            <w:r>
              <w:rPr>
                <w:rFonts w:eastAsia="Times New Roman"/>
                <w:color w:val="000000"/>
              </w:rPr>
              <w:t>.2017</w:t>
            </w:r>
          </w:p>
        </w:tc>
      </w:tr>
      <w:tr w:rsidR="00C92F4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49" w:rsidRDefault="00C92F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49" w:rsidRDefault="00C92F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49" w:rsidRDefault="00C92F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49" w:rsidRDefault="00C92F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C92F49" w:rsidRDefault="00C92F49">
      <w:pPr>
        <w:rPr>
          <w:rFonts w:eastAsia="Times New Roman"/>
          <w:color w:val="000000"/>
        </w:rPr>
      </w:pPr>
    </w:p>
    <w:p w:rsidR="00C92F49" w:rsidRDefault="005C0F8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C92F49" w:rsidRDefault="005C0F8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C92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49" w:rsidRDefault="005C0F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C92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онерне товариство "Вiнницький олiйножировий комбiнат"</w:t>
            </w:r>
          </w:p>
        </w:tc>
      </w:tr>
      <w:tr w:rsidR="00C92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49" w:rsidRDefault="005C0F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C92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C92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49" w:rsidRDefault="005C0F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C92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21034, м.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нниця, вул. Немир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вське шосе, 26</w:t>
            </w:r>
          </w:p>
        </w:tc>
      </w:tr>
      <w:tr w:rsidR="00C92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49" w:rsidRDefault="005C0F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C92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00373758</w:t>
            </w:r>
          </w:p>
        </w:tc>
      </w:tr>
      <w:tr w:rsidR="00C92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49" w:rsidRDefault="005C0F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C92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0432 27-46-26 0432 65-54-00</w:t>
            </w:r>
          </w:p>
        </w:tc>
      </w:tr>
      <w:tr w:rsidR="00C92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49" w:rsidRDefault="005C0F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C92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tanyagrb@vioil.com</w:t>
            </w:r>
          </w:p>
        </w:tc>
      </w:tr>
      <w:tr w:rsidR="00C92F4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2F49" w:rsidRDefault="00C92F49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C92F49" w:rsidRDefault="00C92F49">
      <w:pPr>
        <w:rPr>
          <w:rFonts w:eastAsia="Times New Roman"/>
          <w:color w:val="000000"/>
        </w:rPr>
      </w:pPr>
    </w:p>
    <w:p w:rsidR="00C92F49" w:rsidRDefault="005C0F8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2761"/>
        <w:gridCol w:w="2268"/>
        <w:gridCol w:w="1200"/>
      </w:tblGrid>
      <w:tr w:rsidR="00C92F4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08.12.2017</w:t>
            </w:r>
          </w:p>
        </w:tc>
      </w:tr>
      <w:tr w:rsidR="00C92F4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C92F4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C92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№236(2741) Бюлетень "В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домостi НКЦПФР"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12.12.2017</w:t>
            </w:r>
          </w:p>
        </w:tc>
      </w:tr>
      <w:tr w:rsidR="00C92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C92F4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C92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http:\\vmzhk.vioil.com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08.12.2017</w:t>
            </w:r>
          </w:p>
        </w:tc>
      </w:tr>
      <w:tr w:rsidR="00C92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C92F4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C92F4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C92F49" w:rsidRDefault="00C92F49">
      <w:pPr>
        <w:rPr>
          <w:rFonts w:eastAsia="Times New Roman"/>
          <w:color w:val="000000"/>
        </w:rPr>
        <w:sectPr w:rsidR="00C92F49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C92F49" w:rsidRDefault="005C0F8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Відомості про прийняття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ішення про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2722"/>
        <w:gridCol w:w="5445"/>
        <w:gridCol w:w="2722"/>
        <w:gridCol w:w="2722"/>
      </w:tblGrid>
      <w:tr w:rsidR="00C92F49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прийняття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Ринкова вартість майна або послуг, що є предметом правочину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рн)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Вартість активів емітента за даними останньої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ічної фінансової звітності (тис. грн)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вв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</w:tr>
      <w:tr w:rsidR="00C92F4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C92F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884759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5157683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17.15</w:t>
            </w:r>
          </w:p>
        </w:tc>
      </w:tr>
      <w:tr w:rsidR="00C92F4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інформації:</w:t>
            </w:r>
          </w:p>
        </w:tc>
      </w:tr>
      <w:tr w:rsidR="00C92F4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2F49" w:rsidRDefault="005C0F8A" w:rsidP="00317E4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- Дата прийняття 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шення про надання згоди на вчинення значного правочину: 07 грудня 2017 року;</w:t>
            </w:r>
            <w:r>
              <w:rPr>
                <w:rFonts w:eastAsia="Times New Roman"/>
                <w:color w:val="000000"/>
              </w:rPr>
              <w:br/>
              <w:t>- Назва уповноваженого органу, що його прийняв: Наглядова рада Приватного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онерного товариства «Вiнницький олiйножировий комбiнат» (далi – «Товариство»).</w:t>
            </w:r>
            <w:r>
              <w:rPr>
                <w:rFonts w:eastAsia="Times New Roman"/>
                <w:color w:val="000000"/>
              </w:rPr>
              <w:br/>
              <w:t xml:space="preserve">2) Предмет правочину: </w:t>
            </w:r>
            <w:r w:rsidR="00317E46">
              <w:rPr>
                <w:rFonts w:eastAsia="Times New Roman"/>
                <w:color w:val="000000"/>
                <w:lang w:val="uk-UA"/>
              </w:rPr>
              <w:t>П</w:t>
            </w:r>
            <w:r>
              <w:rPr>
                <w:rFonts w:eastAsia="Times New Roman"/>
                <w:color w:val="000000"/>
              </w:rPr>
              <w:t>ередач</w:t>
            </w:r>
            <w:r w:rsidR="00317E46">
              <w:rPr>
                <w:rFonts w:eastAsia="Times New Roman"/>
                <w:color w:val="000000"/>
                <w:lang w:val="uk-UA"/>
              </w:rPr>
              <w:t>а</w:t>
            </w:r>
            <w:r>
              <w:rPr>
                <w:rFonts w:eastAsia="Times New Roman"/>
                <w:color w:val="000000"/>
              </w:rPr>
              <w:t xml:space="preserve"> в заставу АТ «Ощадбанк» належне Товариству рухоме майно за ринковою вартiстю в якостi забезпечення зобов’язань перед АТ «Ощадбанк». </w:t>
            </w:r>
            <w:r>
              <w:rPr>
                <w:rFonts w:eastAsia="Times New Roman"/>
                <w:color w:val="000000"/>
              </w:rPr>
              <w:br/>
              <w:t>3) Ринкова вартiсть майна або послуг, що є предметом правочину, визначена вiдповiдно до законодавства: 884 759 тис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рн. (вiсiмсот вiсiмдесят чотири мiльйони сiмсот п’ятдесят дев’ять тисяч гривень).</w:t>
            </w:r>
            <w:r>
              <w:rPr>
                <w:rFonts w:eastAsia="Times New Roman"/>
                <w:color w:val="000000"/>
              </w:rPr>
              <w:br/>
              <w:t>4) Вартiсть активiв емiтента за даними останньої рiчної фiнансової звiтностi: 5 157 683 тис. грн. (п’ять мiльярдiв сто п’ятдесят сiм мiльйонiв шiстсот вiсiмдесят три тисячi гривень).</w:t>
            </w:r>
            <w:r>
              <w:rPr>
                <w:rFonts w:eastAsia="Times New Roman"/>
                <w:color w:val="000000"/>
              </w:rPr>
              <w:br/>
              <w:t xml:space="preserve">5) Спiввiдношення ринкової вартостi </w:t>
            </w:r>
            <w:proofErr w:type="gramStart"/>
            <w:r>
              <w:rPr>
                <w:rFonts w:eastAsia="Times New Roman"/>
                <w:color w:val="000000"/>
              </w:rPr>
              <w:t>майна або послуг, що є предметом правочину, до вартостi активiв емiтента за даними останньої рiчної фiнансової звiтностi (у вiдсотках): 17,15.</w:t>
            </w:r>
            <w:r>
              <w:rPr>
                <w:rFonts w:eastAsia="Times New Roman"/>
                <w:color w:val="000000"/>
              </w:rPr>
              <w:br/>
              <w:t xml:space="preserve">6) Загальна кiлькiсть голосуючих акцiй, кiлькiсть голосуючих акцiй, що зареєстрованi для участi у загальних зборах, кiлькiсть голосуючих акцiй, що проголосували «за» та «проти» прийняття рiшення (зазначається, якщо рiшення приймається загальними зборами): рiшення прийнято Наглядовою радою. </w:t>
            </w:r>
            <w:r>
              <w:rPr>
                <w:rFonts w:eastAsia="Times New Roman"/>
                <w:color w:val="000000"/>
              </w:rPr>
              <w:br/>
              <w:t>7) Додатковi критерi</w:t>
            </w:r>
            <w:proofErr w:type="gramEnd"/>
            <w:r>
              <w:rPr>
                <w:rFonts w:eastAsia="Times New Roman"/>
                <w:color w:val="000000"/>
              </w:rPr>
              <w:t>ї для вiднесення правочину до значного правочину не передбаченi законодавством, статутом ПрАТ «Вiнницький ОЖК»: не визначенi.</w:t>
            </w:r>
          </w:p>
        </w:tc>
      </w:tr>
    </w:tbl>
    <w:p w:rsidR="00C92F49" w:rsidRDefault="00C92F49">
      <w:pPr>
        <w:rPr>
          <w:rFonts w:eastAsia="Times New Roman"/>
        </w:rPr>
      </w:pPr>
    </w:p>
    <w:sectPr w:rsidR="00C92F49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34DC6"/>
    <w:rsid w:val="00317E46"/>
    <w:rsid w:val="005C0F8A"/>
    <w:rsid w:val="00A34DC6"/>
    <w:rsid w:val="00C92F49"/>
    <w:rsid w:val="00D0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Огиенко Александра</dc:creator>
  <cp:keywords/>
  <dc:description/>
  <cp:lastModifiedBy>user</cp:lastModifiedBy>
  <cp:revision>6</cp:revision>
  <dcterms:created xsi:type="dcterms:W3CDTF">2017-12-08T10:46:00Z</dcterms:created>
  <dcterms:modified xsi:type="dcterms:W3CDTF">2017-12-11T09:18:00Z</dcterms:modified>
</cp:coreProperties>
</file>